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6EE4F" w14:textId="77777777" w:rsidR="00C53B2E" w:rsidRPr="00134C8A" w:rsidRDefault="00C53B2E" w:rsidP="00C53B2E">
      <w:pPr>
        <w:pStyle w:val="Default"/>
        <w:rPr>
          <w:rFonts w:asciiTheme="minorHAnsi" w:hAnsiTheme="minorHAnsi" w:cstheme="minorHAnsi"/>
          <w:sz w:val="22"/>
          <w:szCs w:val="22"/>
        </w:rPr>
      </w:pPr>
      <w:r w:rsidRPr="00134C8A">
        <w:rPr>
          <w:rFonts w:asciiTheme="minorHAnsi" w:hAnsiTheme="minorHAnsi" w:cstheme="minorHAnsi"/>
          <w:sz w:val="22"/>
          <w:szCs w:val="22"/>
        </w:rPr>
        <w:t xml:space="preserve">Les ulcères des membres inférieurs constituent un problème majeur de santé publique dont la gestion doit être encore améliorée, notamment en termes de temps de guérison, de prévalence et de taux de récurrence. </w:t>
      </w:r>
    </w:p>
    <w:p w14:paraId="085148EF" w14:textId="77777777" w:rsidR="00C53B2E" w:rsidRPr="00134C8A" w:rsidRDefault="00C53B2E" w:rsidP="00C53B2E">
      <w:pPr>
        <w:pStyle w:val="Default"/>
        <w:rPr>
          <w:rFonts w:asciiTheme="minorHAnsi" w:hAnsiTheme="minorHAnsi" w:cstheme="minorHAnsi"/>
          <w:sz w:val="22"/>
          <w:szCs w:val="22"/>
        </w:rPr>
      </w:pPr>
      <w:r w:rsidRPr="00134C8A">
        <w:rPr>
          <w:rFonts w:asciiTheme="minorHAnsi" w:hAnsiTheme="minorHAnsi" w:cstheme="minorHAnsi"/>
          <w:sz w:val="22"/>
          <w:szCs w:val="22"/>
        </w:rPr>
        <w:t xml:space="preserve">Les ulcères d'origine veineuse, ou artério-veineux mixtes et à prédominance veineuse, représentent la majorité des ulcères de jambe avec une proportion estimée entre 70 et 80 % des cas. Leur prévalence est estimée entre 1 et 1,5 % et représente un coût de santé publique important, estimé entre 1 et 2 % du budget annuel de santé des pays d'Europe occidentale. </w:t>
      </w:r>
    </w:p>
    <w:p w14:paraId="723B4CC7" w14:textId="67FB53C7" w:rsidR="00C53B2E" w:rsidRPr="00134C8A" w:rsidRDefault="00C53B2E" w:rsidP="00C53B2E">
      <w:pPr>
        <w:pStyle w:val="Default"/>
        <w:rPr>
          <w:rFonts w:asciiTheme="minorHAnsi" w:hAnsiTheme="minorHAnsi" w:cstheme="minorHAnsi"/>
          <w:sz w:val="22"/>
          <w:szCs w:val="22"/>
        </w:rPr>
      </w:pPr>
      <w:r w:rsidRPr="00134C8A">
        <w:rPr>
          <w:rFonts w:asciiTheme="minorHAnsi" w:hAnsiTheme="minorHAnsi" w:cstheme="minorHAnsi"/>
          <w:sz w:val="22"/>
          <w:szCs w:val="22"/>
        </w:rPr>
        <w:t>Le taux de récurrence des ulcères variqueux est de 30 % après un an de compression et de 30 % après quatre ans pour la chirurgie (étude ESCHAR)</w:t>
      </w:r>
      <w:r w:rsidR="006C188C" w:rsidRPr="00134C8A">
        <w:rPr>
          <w:rFonts w:asciiTheme="minorHAnsi" w:hAnsiTheme="minorHAnsi" w:cstheme="minorHAnsi"/>
          <w:sz w:val="22"/>
          <w:szCs w:val="22"/>
        </w:rPr>
        <w:t>.</w:t>
      </w:r>
    </w:p>
    <w:p w14:paraId="4226FD23" w14:textId="1C48EC56" w:rsidR="007D5CA7" w:rsidRPr="00134C8A" w:rsidRDefault="00C53B2E" w:rsidP="00C53B2E">
      <w:pPr>
        <w:rPr>
          <w:rFonts w:cstheme="minorHAnsi"/>
          <w:sz w:val="22"/>
          <w:szCs w:val="22"/>
        </w:rPr>
      </w:pPr>
      <w:r w:rsidRPr="00134C8A">
        <w:rPr>
          <w:rFonts w:cstheme="minorHAnsi"/>
          <w:sz w:val="22"/>
          <w:szCs w:val="22"/>
        </w:rPr>
        <w:t>Le coût généré en France des ulcères de jambe à domicile est d’environ 235 millions d’euros (</w:t>
      </w:r>
      <w:r w:rsidRPr="00134C8A">
        <w:rPr>
          <w:rFonts w:cstheme="minorHAnsi"/>
          <w:sz w:val="22"/>
          <w:szCs w:val="22"/>
        </w:rPr>
        <w:t>infirmières, pansements, antibiotiques et analgésiques).</w:t>
      </w:r>
    </w:p>
    <w:p w14:paraId="5C2DE24A" w14:textId="37C86076" w:rsidR="00C53B2E" w:rsidRPr="00134C8A" w:rsidRDefault="00C53B2E" w:rsidP="00C53B2E">
      <w:pPr>
        <w:pStyle w:val="Default"/>
        <w:rPr>
          <w:rFonts w:asciiTheme="minorHAnsi" w:hAnsiTheme="minorHAnsi" w:cstheme="minorHAnsi"/>
          <w:sz w:val="22"/>
          <w:szCs w:val="22"/>
        </w:rPr>
      </w:pPr>
      <w:r w:rsidRPr="00134C8A">
        <w:rPr>
          <w:rFonts w:asciiTheme="minorHAnsi" w:hAnsiTheme="minorHAnsi" w:cstheme="minorHAnsi"/>
          <w:sz w:val="22"/>
          <w:szCs w:val="22"/>
        </w:rPr>
        <w:t>L'étude EVRA montre une accélération significative de la guérison avec une prise en charge immédiate des ulcères par un traitement endoveineux</w:t>
      </w:r>
      <w:r w:rsidR="006C188C" w:rsidRPr="00134C8A">
        <w:rPr>
          <w:rFonts w:asciiTheme="minorHAnsi" w:hAnsiTheme="minorHAnsi" w:cstheme="minorHAnsi"/>
          <w:sz w:val="22"/>
          <w:szCs w:val="22"/>
        </w:rPr>
        <w:t>.</w:t>
      </w:r>
    </w:p>
    <w:p w14:paraId="674F0ACB" w14:textId="1A3EC584" w:rsidR="00C53B2E" w:rsidRPr="00134C8A" w:rsidRDefault="00C53B2E" w:rsidP="00C53B2E">
      <w:pPr>
        <w:pStyle w:val="Default"/>
        <w:rPr>
          <w:rFonts w:asciiTheme="minorHAnsi" w:hAnsiTheme="minorHAnsi" w:cstheme="minorHAnsi"/>
          <w:sz w:val="22"/>
          <w:szCs w:val="22"/>
        </w:rPr>
      </w:pPr>
      <w:r w:rsidRPr="00134C8A">
        <w:rPr>
          <w:rFonts w:asciiTheme="minorHAnsi" w:hAnsiTheme="minorHAnsi" w:cstheme="minorHAnsi"/>
          <w:sz w:val="22"/>
          <w:szCs w:val="22"/>
        </w:rPr>
        <w:t xml:space="preserve">L’intérêt du traitement des ulcères par la colle cyanoacrylate est la possibilité d’occlure la grande veine saphène sur toute sa longueur, en s’affranchissant des complications neurologiques secondaires aux techniques thermiques </w:t>
      </w:r>
      <w:proofErr w:type="spellStart"/>
      <w:r w:rsidRPr="00134C8A">
        <w:rPr>
          <w:rFonts w:asciiTheme="minorHAnsi" w:hAnsiTheme="minorHAnsi" w:cstheme="minorHAnsi"/>
          <w:sz w:val="22"/>
          <w:szCs w:val="22"/>
        </w:rPr>
        <w:t>endoveineuses</w:t>
      </w:r>
      <w:proofErr w:type="spellEnd"/>
      <w:r w:rsidRPr="00134C8A">
        <w:rPr>
          <w:rFonts w:asciiTheme="minorHAnsi" w:hAnsiTheme="minorHAnsi" w:cstheme="minorHAnsi"/>
          <w:sz w:val="22"/>
          <w:szCs w:val="22"/>
        </w:rPr>
        <w:t xml:space="preserve"> (laser, radiofréquence</w:t>
      </w:r>
      <w:r w:rsidR="001C2FCD" w:rsidRPr="00134C8A">
        <w:rPr>
          <w:rFonts w:asciiTheme="minorHAnsi" w:hAnsiTheme="minorHAnsi" w:cstheme="minorHAnsi"/>
          <w:sz w:val="22"/>
          <w:szCs w:val="22"/>
        </w:rPr>
        <w:t>),</w:t>
      </w:r>
      <w:r w:rsidRPr="00134C8A">
        <w:rPr>
          <w:rFonts w:asciiTheme="minorHAnsi" w:hAnsiTheme="minorHAnsi" w:cstheme="minorHAnsi"/>
          <w:sz w:val="22"/>
          <w:szCs w:val="22"/>
        </w:rPr>
        <w:t xml:space="preserve"> ainsi que la possibilité de traiter par ponction directe les éventuelles perforantes ou tributaires alimentant l’ulcère.</w:t>
      </w:r>
    </w:p>
    <w:p w14:paraId="349F5D5C" w14:textId="0C78D57A" w:rsidR="00C53B2E" w:rsidRPr="00134C8A" w:rsidRDefault="00C53B2E" w:rsidP="00C53B2E">
      <w:pPr>
        <w:pStyle w:val="Default"/>
        <w:rPr>
          <w:rFonts w:asciiTheme="minorHAnsi" w:hAnsiTheme="minorHAnsi" w:cstheme="minorHAnsi"/>
          <w:sz w:val="22"/>
          <w:szCs w:val="22"/>
        </w:rPr>
      </w:pPr>
      <w:r w:rsidRPr="00134C8A">
        <w:rPr>
          <w:rFonts w:asciiTheme="minorHAnsi" w:hAnsiTheme="minorHAnsi" w:cstheme="minorHAnsi"/>
          <w:sz w:val="22"/>
          <w:szCs w:val="22"/>
        </w:rPr>
        <w:t xml:space="preserve">Par ailleurs le </w:t>
      </w:r>
      <w:proofErr w:type="spellStart"/>
      <w:r w:rsidRPr="00134C8A">
        <w:rPr>
          <w:rFonts w:asciiTheme="minorHAnsi" w:hAnsiTheme="minorHAnsi" w:cstheme="minorHAnsi"/>
          <w:sz w:val="22"/>
          <w:szCs w:val="22"/>
        </w:rPr>
        <w:t>Venaseal</w:t>
      </w:r>
      <w:proofErr w:type="spellEnd"/>
      <w:r w:rsidRPr="00134C8A">
        <w:rPr>
          <w:rFonts w:asciiTheme="minorHAnsi" w:hAnsiTheme="minorHAnsi" w:cstheme="minorHAnsi"/>
          <w:sz w:val="22"/>
          <w:szCs w:val="22"/>
        </w:rPr>
        <w:t xml:space="preserve"> a fait la preuve de sa non-infériorité dans le traitement des saphènes, dans un essai randomisé contrôlé, avec une persistance d’occlusion à 5 ans de 91,4% versus 85,2 % pour la radiofréquence.</w:t>
      </w:r>
    </w:p>
    <w:p w14:paraId="1C68F2AB" w14:textId="5FCD25DE" w:rsidR="00134C8A" w:rsidRPr="00134C8A" w:rsidRDefault="00134C8A" w:rsidP="00134C8A">
      <w:pPr>
        <w:pStyle w:val="Default"/>
      </w:pPr>
      <w:r>
        <w:rPr>
          <w:rFonts w:asciiTheme="minorHAnsi" w:hAnsiTheme="minorHAnsi" w:cstheme="minorHAnsi"/>
          <w:sz w:val="22"/>
          <w:szCs w:val="22"/>
        </w:rPr>
        <w:t xml:space="preserve">Présentation de </w:t>
      </w:r>
      <w:r w:rsidRPr="00134C8A">
        <w:rPr>
          <w:rFonts w:asciiTheme="minorHAnsi" w:hAnsiTheme="minorHAnsi" w:cstheme="minorHAnsi"/>
          <w:sz w:val="22"/>
          <w:szCs w:val="22"/>
        </w:rPr>
        <w:t>L’</w:t>
      </w:r>
      <w:r>
        <w:rPr>
          <w:rFonts w:asciiTheme="minorHAnsi" w:hAnsiTheme="minorHAnsi" w:cstheme="minorHAnsi"/>
          <w:sz w:val="22"/>
          <w:szCs w:val="22"/>
        </w:rPr>
        <w:t>é</w:t>
      </w:r>
      <w:r w:rsidRPr="00134C8A">
        <w:rPr>
          <w:rFonts w:asciiTheme="minorHAnsi" w:hAnsiTheme="minorHAnsi" w:cstheme="minorHAnsi"/>
          <w:sz w:val="22"/>
          <w:szCs w:val="22"/>
        </w:rPr>
        <w:t xml:space="preserve">tude </w:t>
      </w:r>
      <w:r w:rsidRPr="00134C8A">
        <w:rPr>
          <w:sz w:val="22"/>
          <w:szCs w:val="22"/>
        </w:rPr>
        <w:t xml:space="preserve">de faisabilité et tolérance du traitement des ulcères variqueux par colle </w:t>
      </w:r>
      <w:r w:rsidR="001C2FCD" w:rsidRPr="00134C8A">
        <w:rPr>
          <w:sz w:val="22"/>
          <w:szCs w:val="22"/>
        </w:rPr>
        <w:t>cyanoacrylate</w:t>
      </w:r>
      <w:r w:rsidR="001C2FCD">
        <w:rPr>
          <w:sz w:val="22"/>
          <w:szCs w:val="22"/>
        </w:rPr>
        <w:t xml:space="preserve"> (</w:t>
      </w:r>
      <w:r>
        <w:rPr>
          <w:sz w:val="22"/>
          <w:szCs w:val="22"/>
        </w:rPr>
        <w:t xml:space="preserve">ETUVVE) qui </w:t>
      </w:r>
      <w:r w:rsidRPr="00134C8A">
        <w:rPr>
          <w:rFonts w:asciiTheme="minorHAnsi" w:hAnsiTheme="minorHAnsi" w:cstheme="minorHAnsi"/>
          <w:sz w:val="22"/>
          <w:szCs w:val="22"/>
        </w:rPr>
        <w:t>a reçu l’avis favorable</w:t>
      </w:r>
      <w:r w:rsidRPr="00134C8A">
        <w:rPr>
          <w:rFonts w:asciiTheme="minorHAnsi" w:hAnsiTheme="minorHAnsi" w:cstheme="minorHAnsi"/>
          <w:sz w:val="22"/>
          <w:szCs w:val="22"/>
        </w:rPr>
        <w:t> :</w:t>
      </w:r>
    </w:p>
    <w:p w14:paraId="013249E4" w14:textId="4B7E2B5F" w:rsidR="00134C8A" w:rsidRPr="00134C8A" w:rsidRDefault="00134C8A" w:rsidP="00134C8A">
      <w:pPr>
        <w:pStyle w:val="Default"/>
        <w:numPr>
          <w:ilvl w:val="0"/>
          <w:numId w:val="2"/>
        </w:numPr>
        <w:rPr>
          <w:rFonts w:asciiTheme="minorHAnsi" w:hAnsiTheme="minorHAnsi" w:cstheme="minorHAnsi"/>
          <w:sz w:val="22"/>
          <w:szCs w:val="22"/>
        </w:rPr>
      </w:pPr>
      <w:r w:rsidRPr="00134C8A">
        <w:rPr>
          <w:rFonts w:asciiTheme="minorHAnsi" w:hAnsiTheme="minorHAnsi" w:cstheme="minorHAnsi"/>
          <w:sz w:val="22"/>
          <w:szCs w:val="22"/>
        </w:rPr>
        <w:t>Du Comité de Protection des Personnes Sud Est VI, le 17 décembre 2020</w:t>
      </w:r>
    </w:p>
    <w:p w14:paraId="0149530C" w14:textId="7BAAD3E1" w:rsidR="00134C8A" w:rsidRPr="00134C8A" w:rsidRDefault="00134C8A" w:rsidP="001C2FCD">
      <w:pPr>
        <w:pStyle w:val="Default"/>
        <w:numPr>
          <w:ilvl w:val="0"/>
          <w:numId w:val="2"/>
        </w:numPr>
        <w:rPr>
          <w:rFonts w:asciiTheme="minorHAnsi" w:hAnsiTheme="minorHAnsi" w:cstheme="minorHAnsi"/>
          <w:sz w:val="22"/>
          <w:szCs w:val="22"/>
        </w:rPr>
      </w:pPr>
      <w:r w:rsidRPr="00134C8A">
        <w:rPr>
          <w:rFonts w:asciiTheme="minorHAnsi" w:hAnsiTheme="minorHAnsi" w:cstheme="minorHAnsi"/>
          <w:sz w:val="22"/>
          <w:szCs w:val="22"/>
        </w:rPr>
        <w:t>T</w:t>
      </w:r>
      <w:r w:rsidRPr="00134C8A">
        <w:rPr>
          <w:rFonts w:asciiTheme="minorHAnsi" w:hAnsiTheme="minorHAnsi" w:cstheme="minorHAnsi"/>
          <w:sz w:val="22"/>
          <w:szCs w:val="22"/>
        </w:rPr>
        <w:t xml:space="preserve">ransmission Avis et résumé à l’ANSM </w:t>
      </w:r>
      <w:r w:rsidRPr="00134C8A">
        <w:rPr>
          <w:rFonts w:asciiTheme="minorHAnsi" w:hAnsiTheme="minorHAnsi" w:cstheme="minorHAnsi"/>
          <w:sz w:val="22"/>
          <w:szCs w:val="22"/>
        </w:rPr>
        <w:t>le 07</w:t>
      </w:r>
      <w:r w:rsidRPr="00134C8A">
        <w:rPr>
          <w:rFonts w:asciiTheme="minorHAnsi" w:hAnsiTheme="minorHAnsi" w:cstheme="minorHAnsi"/>
          <w:sz w:val="22"/>
          <w:szCs w:val="22"/>
        </w:rPr>
        <w:t xml:space="preserve"> janvier 2021</w:t>
      </w:r>
    </w:p>
    <w:p w14:paraId="233E9345" w14:textId="1ACE763D" w:rsidR="00134C8A" w:rsidRPr="00134C8A" w:rsidRDefault="00134C8A" w:rsidP="00134C8A">
      <w:pPr>
        <w:rPr>
          <w:rFonts w:eastAsia="Times New Roman" w:cstheme="minorHAnsi"/>
          <w:sz w:val="22"/>
          <w:szCs w:val="22"/>
          <w:lang w:eastAsia="fr-FR"/>
        </w:rPr>
      </w:pPr>
      <w:r w:rsidRPr="00134C8A">
        <w:rPr>
          <w:rFonts w:cstheme="minorHAnsi"/>
          <w:sz w:val="22"/>
          <w:szCs w:val="22"/>
        </w:rPr>
        <w:t>Enregistrement de l ’étude sur clinicaltrial.gov :</w:t>
      </w:r>
      <w:r w:rsidRPr="00134C8A">
        <w:rPr>
          <w:rFonts w:cstheme="minorHAnsi"/>
          <w:sz w:val="22"/>
          <w:szCs w:val="22"/>
        </w:rPr>
        <w:t xml:space="preserve"> </w:t>
      </w:r>
      <w:hyperlink r:id="rId5" w:tooltip="Current version of study NCT04714749 on ClinicalTrials.gov" w:history="1">
        <w:r w:rsidRPr="00134C8A">
          <w:rPr>
            <w:rFonts w:eastAsia="Times New Roman" w:cstheme="minorHAnsi"/>
            <w:color w:val="0000FF"/>
            <w:sz w:val="22"/>
            <w:szCs w:val="22"/>
            <w:u w:val="single"/>
            <w:lang w:eastAsia="fr-FR"/>
          </w:rPr>
          <w:t>NCT04714749</w:t>
        </w:r>
      </w:hyperlink>
      <w:r w:rsidRPr="00134C8A">
        <w:rPr>
          <w:rFonts w:eastAsia="Times New Roman" w:cstheme="minorHAnsi"/>
          <w:sz w:val="22"/>
          <w:szCs w:val="22"/>
          <w:lang w:eastAsia="fr-FR"/>
        </w:rPr>
        <w:t xml:space="preserve"> </w:t>
      </w:r>
    </w:p>
    <w:p w14:paraId="12A256BB" w14:textId="32A48687" w:rsidR="00134C8A" w:rsidRPr="006C188C" w:rsidRDefault="00134C8A" w:rsidP="00134C8A">
      <w:pPr>
        <w:pStyle w:val="Default"/>
        <w:rPr>
          <w:rFonts w:asciiTheme="minorHAnsi" w:hAnsiTheme="minorHAnsi" w:cstheme="minorHAnsi"/>
        </w:rPr>
      </w:pPr>
    </w:p>
    <w:sectPr w:rsidR="00134C8A" w:rsidRPr="006C1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630D3"/>
    <w:multiLevelType w:val="hybridMultilevel"/>
    <w:tmpl w:val="A03A7AFC"/>
    <w:lvl w:ilvl="0" w:tplc="9BDCCBF2">
      <w:start w:val="1"/>
      <w:numFmt w:val="bullet"/>
      <w:lvlText w:val="§"/>
      <w:lvlJc w:val="left"/>
      <w:pPr>
        <w:tabs>
          <w:tab w:val="num" w:pos="720"/>
        </w:tabs>
        <w:ind w:left="720" w:hanging="360"/>
      </w:pPr>
      <w:rPr>
        <w:rFonts w:ascii="Wingdings" w:hAnsi="Wingdings" w:hint="default"/>
      </w:rPr>
    </w:lvl>
    <w:lvl w:ilvl="1" w:tplc="AF6C4A62" w:tentative="1">
      <w:start w:val="1"/>
      <w:numFmt w:val="bullet"/>
      <w:lvlText w:val="§"/>
      <w:lvlJc w:val="left"/>
      <w:pPr>
        <w:tabs>
          <w:tab w:val="num" w:pos="1440"/>
        </w:tabs>
        <w:ind w:left="1440" w:hanging="360"/>
      </w:pPr>
      <w:rPr>
        <w:rFonts w:ascii="Wingdings" w:hAnsi="Wingdings" w:hint="default"/>
      </w:rPr>
    </w:lvl>
    <w:lvl w:ilvl="2" w:tplc="078AA104">
      <w:numFmt w:val="bullet"/>
      <w:lvlText w:val="•"/>
      <w:lvlJc w:val="left"/>
      <w:pPr>
        <w:tabs>
          <w:tab w:val="num" w:pos="2160"/>
        </w:tabs>
        <w:ind w:left="2160" w:hanging="360"/>
      </w:pPr>
      <w:rPr>
        <w:rFonts w:ascii="Arial" w:hAnsi="Arial" w:hint="default"/>
      </w:rPr>
    </w:lvl>
    <w:lvl w:ilvl="3" w:tplc="B6D20A28" w:tentative="1">
      <w:start w:val="1"/>
      <w:numFmt w:val="bullet"/>
      <w:lvlText w:val="§"/>
      <w:lvlJc w:val="left"/>
      <w:pPr>
        <w:tabs>
          <w:tab w:val="num" w:pos="2880"/>
        </w:tabs>
        <w:ind w:left="2880" w:hanging="360"/>
      </w:pPr>
      <w:rPr>
        <w:rFonts w:ascii="Wingdings" w:hAnsi="Wingdings" w:hint="default"/>
      </w:rPr>
    </w:lvl>
    <w:lvl w:ilvl="4" w:tplc="223486A2" w:tentative="1">
      <w:start w:val="1"/>
      <w:numFmt w:val="bullet"/>
      <w:lvlText w:val="§"/>
      <w:lvlJc w:val="left"/>
      <w:pPr>
        <w:tabs>
          <w:tab w:val="num" w:pos="3600"/>
        </w:tabs>
        <w:ind w:left="3600" w:hanging="360"/>
      </w:pPr>
      <w:rPr>
        <w:rFonts w:ascii="Wingdings" w:hAnsi="Wingdings" w:hint="default"/>
      </w:rPr>
    </w:lvl>
    <w:lvl w:ilvl="5" w:tplc="575280EA" w:tentative="1">
      <w:start w:val="1"/>
      <w:numFmt w:val="bullet"/>
      <w:lvlText w:val="§"/>
      <w:lvlJc w:val="left"/>
      <w:pPr>
        <w:tabs>
          <w:tab w:val="num" w:pos="4320"/>
        </w:tabs>
        <w:ind w:left="4320" w:hanging="360"/>
      </w:pPr>
      <w:rPr>
        <w:rFonts w:ascii="Wingdings" w:hAnsi="Wingdings" w:hint="default"/>
      </w:rPr>
    </w:lvl>
    <w:lvl w:ilvl="6" w:tplc="F83A7AB0" w:tentative="1">
      <w:start w:val="1"/>
      <w:numFmt w:val="bullet"/>
      <w:lvlText w:val="§"/>
      <w:lvlJc w:val="left"/>
      <w:pPr>
        <w:tabs>
          <w:tab w:val="num" w:pos="5040"/>
        </w:tabs>
        <w:ind w:left="5040" w:hanging="360"/>
      </w:pPr>
      <w:rPr>
        <w:rFonts w:ascii="Wingdings" w:hAnsi="Wingdings" w:hint="default"/>
      </w:rPr>
    </w:lvl>
    <w:lvl w:ilvl="7" w:tplc="0E88CB28" w:tentative="1">
      <w:start w:val="1"/>
      <w:numFmt w:val="bullet"/>
      <w:lvlText w:val="§"/>
      <w:lvlJc w:val="left"/>
      <w:pPr>
        <w:tabs>
          <w:tab w:val="num" w:pos="5760"/>
        </w:tabs>
        <w:ind w:left="5760" w:hanging="360"/>
      </w:pPr>
      <w:rPr>
        <w:rFonts w:ascii="Wingdings" w:hAnsi="Wingdings" w:hint="default"/>
      </w:rPr>
    </w:lvl>
    <w:lvl w:ilvl="8" w:tplc="642A26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5278E2"/>
    <w:multiLevelType w:val="hybridMultilevel"/>
    <w:tmpl w:val="3DB6E86A"/>
    <w:lvl w:ilvl="0" w:tplc="F92A47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2E"/>
    <w:rsid w:val="00134C8A"/>
    <w:rsid w:val="001C2FCD"/>
    <w:rsid w:val="006C188C"/>
    <w:rsid w:val="007D5CA7"/>
    <w:rsid w:val="00C53B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D17B159"/>
  <w15:chartTrackingRefBased/>
  <w15:docId w15:val="{5D6D126E-F045-AF46-A04F-39D10155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53B2E"/>
    <w:pPr>
      <w:autoSpaceDE w:val="0"/>
      <w:autoSpaceDN w:val="0"/>
      <w:adjustRightInd w:val="0"/>
    </w:pPr>
    <w:rPr>
      <w:rFonts w:ascii="Calibri" w:hAnsi="Calibri" w:cs="Calibri"/>
      <w:color w:val="000000"/>
    </w:rPr>
  </w:style>
  <w:style w:type="paragraph" w:styleId="Paragraphedeliste">
    <w:name w:val="List Paragraph"/>
    <w:basedOn w:val="Normal"/>
    <w:uiPriority w:val="34"/>
    <w:qFormat/>
    <w:rsid w:val="00134C8A"/>
    <w:pPr>
      <w:ind w:left="720"/>
      <w:contextualSpacing/>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134C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88040">
      <w:bodyDiv w:val="1"/>
      <w:marLeft w:val="0"/>
      <w:marRight w:val="0"/>
      <w:marTop w:val="0"/>
      <w:marBottom w:val="0"/>
      <w:divBdr>
        <w:top w:val="none" w:sz="0" w:space="0" w:color="auto"/>
        <w:left w:val="none" w:sz="0" w:space="0" w:color="auto"/>
        <w:bottom w:val="none" w:sz="0" w:space="0" w:color="auto"/>
        <w:right w:val="none" w:sz="0" w:space="0" w:color="auto"/>
      </w:divBdr>
      <w:divsChild>
        <w:div w:id="1128476090">
          <w:marLeft w:val="1440"/>
          <w:marRight w:val="0"/>
          <w:marTop w:val="0"/>
          <w:marBottom w:val="0"/>
          <w:divBdr>
            <w:top w:val="none" w:sz="0" w:space="0" w:color="auto"/>
            <w:left w:val="none" w:sz="0" w:space="0" w:color="auto"/>
            <w:bottom w:val="none" w:sz="0" w:space="0" w:color="auto"/>
            <w:right w:val="none" w:sz="0" w:space="0" w:color="auto"/>
          </w:divBdr>
        </w:div>
        <w:div w:id="360863130">
          <w:marLeft w:val="1440"/>
          <w:marRight w:val="0"/>
          <w:marTop w:val="0"/>
          <w:marBottom w:val="0"/>
          <w:divBdr>
            <w:top w:val="none" w:sz="0" w:space="0" w:color="auto"/>
            <w:left w:val="none" w:sz="0" w:space="0" w:color="auto"/>
            <w:bottom w:val="none" w:sz="0" w:space="0" w:color="auto"/>
            <w:right w:val="none" w:sz="0" w:space="0" w:color="auto"/>
          </w:divBdr>
        </w:div>
      </w:divsChild>
    </w:div>
    <w:div w:id="54271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inicaltrials.gov/show/NCT0471474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320</Words>
  <Characters>1766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néaume</dc:creator>
  <cp:keywords/>
  <dc:description/>
  <cp:lastModifiedBy>nicolas néaume</cp:lastModifiedBy>
  <cp:revision>2</cp:revision>
  <dcterms:created xsi:type="dcterms:W3CDTF">2021-02-22T06:18:00Z</dcterms:created>
  <dcterms:modified xsi:type="dcterms:W3CDTF">2021-02-22T06:41:00Z</dcterms:modified>
</cp:coreProperties>
</file>